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Waste Management</w:t>
      </w:r>
    </w:p>
    <w:p w:rsidR="00000000" w:rsidDel="00000000" w:rsidP="00000000" w:rsidRDefault="00000000" w:rsidRPr="00000000" w14:paraId="00000003">
      <w:pPr>
        <w:jc w:val="center"/>
        <w:rPr>
          <w:b w:val="1"/>
        </w:rPr>
      </w:pPr>
      <w:r w:rsidDel="00000000" w:rsidR="00000000" w:rsidRPr="00000000">
        <w:rPr>
          <w:b w:val="1"/>
          <w:rtl w:val="0"/>
        </w:rPr>
        <w:t xml:space="preserve">Policy</w:t>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To achieve our </w:t>
      </w:r>
      <w:r w:rsidDel="00000000" w:rsidR="00000000" w:rsidRPr="00000000">
        <w:rPr>
          <w:sz w:val="20"/>
          <w:szCs w:val="20"/>
          <w:highlight w:val="yellow"/>
          <w:u w:val="single"/>
          <w:rtl w:val="0"/>
        </w:rPr>
        <w:t xml:space="preserve">sustainability/zero waste/waste reduction</w:t>
      </w:r>
      <w:r w:rsidDel="00000000" w:rsidR="00000000" w:rsidRPr="00000000">
        <w:rPr>
          <w:sz w:val="20"/>
          <w:szCs w:val="20"/>
          <w:rtl w:val="0"/>
        </w:rPr>
        <w:t xml:space="preserve"> </w:t>
      </w:r>
      <w:r w:rsidDel="00000000" w:rsidR="00000000" w:rsidRPr="00000000">
        <w:rPr>
          <w:sz w:val="20"/>
          <w:szCs w:val="20"/>
          <w:rtl w:val="0"/>
        </w:rPr>
        <w:t xml:space="preserve">target, [</w:t>
      </w:r>
      <w:r w:rsidDel="00000000" w:rsidR="00000000" w:rsidRPr="00000000">
        <w:rPr>
          <w:sz w:val="20"/>
          <w:szCs w:val="20"/>
          <w:highlight w:val="yellow"/>
          <w:u w:val="single"/>
          <w:rtl w:val="0"/>
        </w:rPr>
        <w:t xml:space="preserve">villa name / management name]</w:t>
      </w:r>
      <w:r w:rsidDel="00000000" w:rsidR="00000000" w:rsidRPr="00000000">
        <w:rPr>
          <w:sz w:val="20"/>
          <w:szCs w:val="20"/>
          <w:rtl w:val="0"/>
        </w:rPr>
        <w:t xml:space="preserve"> is committed to adopting responsible waste management practices that prioritize reducing, reusing, and recycling materials. We aim to foster a culture of sustainability by embracing circular economy principles and ensuring that our waste management processes are both efficient and environmentally responsible, particularly when handling hazardous waste. This policy applies to all [</w:t>
      </w:r>
      <w:r w:rsidDel="00000000" w:rsidR="00000000" w:rsidRPr="00000000">
        <w:rPr>
          <w:sz w:val="20"/>
          <w:szCs w:val="20"/>
          <w:highlight w:val="yellow"/>
          <w:u w:val="single"/>
          <w:rtl w:val="0"/>
        </w:rPr>
        <w:t xml:space="preserve">villa name / management name]</w:t>
      </w:r>
      <w:r w:rsidDel="00000000" w:rsidR="00000000" w:rsidRPr="00000000">
        <w:rPr>
          <w:sz w:val="20"/>
          <w:szCs w:val="20"/>
          <w:rtl w:val="0"/>
        </w:rPr>
        <w:t xml:space="preserve"> employees, partners, suppliers, and vendors involved in the purchase, use, and disposal of materials across our operations.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Policy</w:t>
      </w:r>
      <w:r w:rsidDel="00000000" w:rsidR="00000000" w:rsidRPr="00000000">
        <w:rPr>
          <w:rtl w:val="0"/>
        </w:rPr>
      </w:r>
    </w:p>
    <w:p w:rsidR="00000000" w:rsidDel="00000000" w:rsidP="00000000" w:rsidRDefault="00000000" w:rsidRPr="00000000" w14:paraId="00000009">
      <w:pPr>
        <w:numPr>
          <w:ilvl w:val="0"/>
          <w:numId w:val="1"/>
        </w:numPr>
        <w:spacing w:after="0" w:afterAutospacing="0" w:before="240" w:lineRule="auto"/>
        <w:ind w:left="720" w:hanging="360"/>
        <w:rPr/>
      </w:pPr>
      <w:r w:rsidDel="00000000" w:rsidR="00000000" w:rsidRPr="00000000">
        <w:rPr>
          <w:rtl w:val="0"/>
        </w:rPr>
        <w:t xml:space="preserve">Committed to comply with national and international laws regarding waste management, emissions, and effluent treatment.</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Villa Manager/Technician/Engineering, will monitor, control, and record waste generation to ensure effective and efficient initiatives for waste reduction.</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Eliminate the use of single-use plastics and processed plastic materials such as plastic bottles, cling wrap, food wrapping paper with plastic lining, plastic straws, sachet packaging, plastic pouches, and styrofoam.</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Encourage staff to reduce, reuse, and recycle both organic and inorganic materials whenever feasible.</w:t>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Ensure proper segregation of waste at the source into categories such as organic, recyclable, non-recyclable, and hazardous waste, using clearly labeled bins.</w:t>
      </w:r>
    </w:p>
    <w:p w:rsidR="00000000" w:rsidDel="00000000" w:rsidP="00000000" w:rsidRDefault="00000000" w:rsidRPr="00000000" w14:paraId="0000000E">
      <w:pPr>
        <w:numPr>
          <w:ilvl w:val="0"/>
          <w:numId w:val="1"/>
        </w:numPr>
        <w:spacing w:after="0" w:afterAutospacing="0" w:before="0" w:beforeAutospacing="0" w:lineRule="auto"/>
        <w:ind w:left="720" w:hanging="360"/>
        <w:rPr/>
      </w:pPr>
      <w:r w:rsidDel="00000000" w:rsidR="00000000" w:rsidRPr="00000000">
        <w:rPr>
          <w:rtl w:val="0"/>
        </w:rPr>
        <w:t xml:space="preserve">Explore opportunities to refurbish or remanufacture items to extend their lifecycle.</w:t>
      </w:r>
    </w:p>
    <w:p w:rsidR="00000000" w:rsidDel="00000000" w:rsidP="00000000" w:rsidRDefault="00000000" w:rsidRPr="00000000" w14:paraId="0000000F">
      <w:pPr>
        <w:numPr>
          <w:ilvl w:val="0"/>
          <w:numId w:val="1"/>
        </w:numPr>
        <w:spacing w:after="0" w:afterAutospacing="0" w:before="0" w:beforeAutospacing="0" w:lineRule="auto"/>
        <w:ind w:left="720" w:hanging="360"/>
        <w:rPr/>
      </w:pPr>
      <w:r w:rsidDel="00000000" w:rsidR="00000000" w:rsidRPr="00000000">
        <w:rPr>
          <w:rtl w:val="0"/>
        </w:rPr>
        <w:t xml:space="preserve">Prioritize purchasing sustainable products and materials with lower environmental impacts.</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tl w:val="0"/>
        </w:rPr>
        <w:t xml:space="preserve">Ensure all electronic and hazardous materials (printer, cartridges, and certain chemicals) generated are disposed at approved e-waste recycling facilities, or stored safely, labeled, and managed appropriately due to their potential environmental harm.</w:t>
      </w:r>
    </w:p>
    <w:p w:rsidR="00000000" w:rsidDel="00000000" w:rsidP="00000000" w:rsidRDefault="00000000" w:rsidRPr="00000000" w14:paraId="00000011">
      <w:pPr>
        <w:numPr>
          <w:ilvl w:val="0"/>
          <w:numId w:val="1"/>
        </w:numPr>
        <w:spacing w:after="0" w:afterAutospacing="0" w:before="0" w:beforeAutospacing="0" w:lineRule="auto"/>
        <w:ind w:left="720" w:hanging="360"/>
        <w:rPr/>
      </w:pPr>
      <w:r w:rsidDel="00000000" w:rsidR="00000000" w:rsidRPr="00000000">
        <w:rPr>
          <w:rtl w:val="0"/>
        </w:rPr>
        <w:t xml:space="preserve">Villa Manager/Technician/Engineering/ must do regular training for staff on proper waste management practices, including safe handling of hazardous waste, waste segregation, and sustainability protocols.</w:t>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rtl w:val="0"/>
        </w:rPr>
        <w:t xml:space="preserve">Staff must communicate our sustainability commitment to guests, partners, suppliers, and vendors, ensuring they understand and are willing to implement the same practices.</w:t>
      </w:r>
    </w:p>
    <w:p w:rsidR="00000000" w:rsidDel="00000000" w:rsidP="00000000" w:rsidRDefault="00000000" w:rsidRPr="00000000" w14:paraId="00000013">
      <w:pPr>
        <w:numPr>
          <w:ilvl w:val="0"/>
          <w:numId w:val="1"/>
        </w:numPr>
        <w:spacing w:after="0" w:afterAutospacing="0" w:before="0" w:beforeAutospacing="0" w:lineRule="auto"/>
        <w:ind w:left="720" w:hanging="360"/>
        <w:rPr/>
      </w:pPr>
      <w:r w:rsidDel="00000000" w:rsidR="00000000" w:rsidRPr="00000000">
        <w:rPr>
          <w:rtl w:val="0"/>
        </w:rPr>
        <w:t xml:space="preserve">Encourage guests to participate in waste reduction by providing clear instructions for recycling and promoting refillable water stations instead of single-use bottles.</w:t>
      </w:r>
    </w:p>
    <w:p w:rsidR="00000000" w:rsidDel="00000000" w:rsidP="00000000" w:rsidRDefault="00000000" w:rsidRPr="00000000" w14:paraId="00000014">
      <w:pPr>
        <w:numPr>
          <w:ilvl w:val="0"/>
          <w:numId w:val="1"/>
        </w:numPr>
        <w:spacing w:after="0" w:afterAutospacing="0" w:before="0" w:beforeAutospacing="0" w:lineRule="auto"/>
        <w:ind w:left="720" w:hanging="360"/>
        <w:rPr/>
      </w:pPr>
      <w:r w:rsidDel="00000000" w:rsidR="00000000" w:rsidRPr="00000000">
        <w:rPr>
          <w:rtl w:val="0"/>
        </w:rPr>
        <w:t xml:space="preserve">Advise partners and suppliers on best practices to reduce, reuse, and recycle their waste.</w:t>
      </w:r>
    </w:p>
    <w:p w:rsidR="00000000" w:rsidDel="00000000" w:rsidP="00000000" w:rsidRDefault="00000000" w:rsidRPr="00000000" w14:paraId="00000015">
      <w:pPr>
        <w:numPr>
          <w:ilvl w:val="0"/>
          <w:numId w:val="1"/>
        </w:numPr>
        <w:spacing w:after="240" w:before="0" w:beforeAutospacing="0" w:lineRule="auto"/>
        <w:ind w:left="720" w:hanging="360"/>
        <w:rPr/>
      </w:pPr>
      <w:r w:rsidDel="00000000" w:rsidR="00000000" w:rsidRPr="00000000">
        <w:rPr>
          <w:rtl w:val="0"/>
        </w:rPr>
        <w:t xml:space="preserve">Ensure that activities partners, suppliers, and vendors do not provide plastic mineral bottles for our clients.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